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964" w:rsidRPr="00470B58" w:rsidRDefault="00470B58" w:rsidP="00470B58">
      <w:pPr>
        <w:spacing w:before="60" w:after="6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Q: Could a Copy button be added (with the Edit link on the left) to copy an</w:t>
      </w:r>
      <w:r w:rsidR="00375964" w:rsidRPr="00470B58">
        <w:rPr>
          <w:rFonts w:ascii="Arial" w:hAnsi="Arial" w:cs="Arial"/>
          <w:b/>
          <w:sz w:val="24"/>
          <w:szCs w:val="24"/>
        </w:rPr>
        <w:t xml:space="preserve"> appeal record?</w:t>
      </w:r>
    </w:p>
    <w:p w:rsidR="00375964" w:rsidRPr="00470B58" w:rsidRDefault="00470B58" w:rsidP="00470B58">
      <w:pPr>
        <w:spacing w:before="6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A: This was discussed, but</w:t>
      </w:r>
      <w:r w:rsidR="00375964" w:rsidRPr="00470B58">
        <w:rPr>
          <w:rFonts w:ascii="Arial" w:hAnsi="Arial" w:cs="Arial"/>
          <w:sz w:val="24"/>
          <w:szCs w:val="24"/>
        </w:rPr>
        <w:t xml:space="preserve"> there would be no way to know which legal action t</w:t>
      </w:r>
      <w:r>
        <w:rPr>
          <w:rFonts w:ascii="Arial" w:hAnsi="Arial" w:cs="Arial"/>
          <w:sz w:val="24"/>
          <w:szCs w:val="24"/>
        </w:rPr>
        <w:t>he user wants to copy the appeal record onto, so there will not be a C</w:t>
      </w:r>
      <w:r w:rsidR="00375964" w:rsidRPr="00470B58">
        <w:rPr>
          <w:rFonts w:ascii="Arial" w:hAnsi="Arial" w:cs="Arial"/>
          <w:sz w:val="24"/>
          <w:szCs w:val="24"/>
        </w:rPr>
        <w:t>opy button.</w:t>
      </w:r>
    </w:p>
    <w:p w:rsidR="00375964" w:rsidRPr="00470B58" w:rsidRDefault="00375964" w:rsidP="00470B58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470B58">
        <w:rPr>
          <w:rFonts w:ascii="Arial" w:hAnsi="Arial" w:cs="Arial"/>
          <w:b/>
          <w:sz w:val="24"/>
          <w:szCs w:val="24"/>
        </w:rPr>
        <w:t xml:space="preserve">Q: What if a Notice of Appeal is filed, but </w:t>
      </w:r>
      <w:r w:rsidR="0038716D" w:rsidRPr="00470B58">
        <w:rPr>
          <w:rFonts w:ascii="Arial" w:hAnsi="Arial" w:cs="Arial"/>
          <w:b/>
          <w:sz w:val="24"/>
          <w:szCs w:val="24"/>
        </w:rPr>
        <w:t>the a</w:t>
      </w:r>
      <w:r w:rsidRPr="00470B58">
        <w:rPr>
          <w:rFonts w:ascii="Arial" w:hAnsi="Arial" w:cs="Arial"/>
          <w:b/>
          <w:sz w:val="24"/>
          <w:szCs w:val="24"/>
        </w:rPr>
        <w:t>ppeal is never filed?  How should that be documented?</w:t>
      </w:r>
    </w:p>
    <w:p w:rsidR="00375964" w:rsidRPr="00470B58" w:rsidRDefault="00375964" w:rsidP="00470B58">
      <w:pPr>
        <w:spacing w:before="60" w:after="240"/>
        <w:rPr>
          <w:rFonts w:ascii="Arial" w:hAnsi="Arial" w:cs="Arial"/>
          <w:sz w:val="24"/>
          <w:szCs w:val="24"/>
        </w:rPr>
      </w:pPr>
      <w:r w:rsidRPr="00470B58">
        <w:rPr>
          <w:rFonts w:ascii="Arial" w:hAnsi="Arial" w:cs="Arial"/>
          <w:sz w:val="24"/>
          <w:szCs w:val="24"/>
        </w:rPr>
        <w:t>A: In this scenario, the worker would document in an activity log that a Notice of Appeal was filed. However, since an appeal was never filed, the worker would not create an appeal record on the ruling.</w:t>
      </w:r>
    </w:p>
    <w:p w:rsidR="00375964" w:rsidRPr="00470B58" w:rsidRDefault="00375964" w:rsidP="00470B58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470B58">
        <w:rPr>
          <w:rFonts w:ascii="Arial" w:hAnsi="Arial" w:cs="Arial"/>
          <w:b/>
          <w:sz w:val="24"/>
          <w:szCs w:val="24"/>
        </w:rPr>
        <w:t>Q: Can a case still be transferred</w:t>
      </w:r>
      <w:r w:rsidR="005E126C">
        <w:rPr>
          <w:rFonts w:ascii="Arial" w:hAnsi="Arial" w:cs="Arial"/>
          <w:b/>
          <w:sz w:val="24"/>
          <w:szCs w:val="24"/>
        </w:rPr>
        <w:t xml:space="preserve"> within a</w:t>
      </w:r>
      <w:r w:rsidRPr="00470B58">
        <w:rPr>
          <w:rFonts w:ascii="Arial" w:hAnsi="Arial" w:cs="Arial"/>
          <w:b/>
          <w:sz w:val="24"/>
          <w:szCs w:val="24"/>
        </w:rPr>
        <w:t>n agency with a pending appeal record?</w:t>
      </w:r>
    </w:p>
    <w:p w:rsidR="00375964" w:rsidRPr="00470B58" w:rsidRDefault="00375964" w:rsidP="00470B58">
      <w:pPr>
        <w:spacing w:before="60" w:after="240"/>
        <w:rPr>
          <w:rFonts w:ascii="Arial" w:hAnsi="Arial" w:cs="Arial"/>
          <w:sz w:val="24"/>
          <w:szCs w:val="24"/>
        </w:rPr>
      </w:pPr>
      <w:r w:rsidRPr="00470B58">
        <w:rPr>
          <w:rFonts w:ascii="Arial" w:hAnsi="Arial" w:cs="Arial"/>
          <w:sz w:val="24"/>
          <w:szCs w:val="24"/>
        </w:rPr>
        <w:t>A: Yes, a case can be transferred within the same agency. However, the case cannot be transferred to a different agency</w:t>
      </w:r>
      <w:r w:rsidR="005E126C">
        <w:rPr>
          <w:rFonts w:ascii="Arial" w:hAnsi="Arial" w:cs="Arial"/>
          <w:sz w:val="24"/>
          <w:szCs w:val="24"/>
        </w:rPr>
        <w:t>,</w:t>
      </w:r>
      <w:r w:rsidRPr="00470B58">
        <w:rPr>
          <w:rFonts w:ascii="Arial" w:hAnsi="Arial" w:cs="Arial"/>
          <w:sz w:val="24"/>
          <w:szCs w:val="24"/>
        </w:rPr>
        <w:t xml:space="preserve"> nor can a court jurisdiction transfer take place when there is a pending appeal record.</w:t>
      </w:r>
    </w:p>
    <w:p w:rsidR="0038716D" w:rsidRPr="00470B58" w:rsidRDefault="0038716D" w:rsidP="00470B58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470B58">
        <w:rPr>
          <w:rFonts w:ascii="Arial" w:hAnsi="Arial" w:cs="Arial"/>
          <w:b/>
          <w:sz w:val="24"/>
          <w:szCs w:val="24"/>
        </w:rPr>
        <w:t>Q: Where should counties document situation information regarding an appeal? Will there be a narrative box on the appeal record?</w:t>
      </w:r>
    </w:p>
    <w:p w:rsidR="0038716D" w:rsidRPr="00470B58" w:rsidRDefault="0038716D" w:rsidP="00470B58">
      <w:pPr>
        <w:spacing w:before="60" w:after="240"/>
        <w:rPr>
          <w:rFonts w:ascii="Arial" w:hAnsi="Arial" w:cs="Arial"/>
          <w:sz w:val="24"/>
          <w:szCs w:val="24"/>
        </w:rPr>
      </w:pPr>
      <w:r w:rsidRPr="00470B58">
        <w:rPr>
          <w:rFonts w:ascii="Arial" w:hAnsi="Arial" w:cs="Arial"/>
          <w:sz w:val="24"/>
          <w:szCs w:val="24"/>
        </w:rPr>
        <w:t xml:space="preserve">A: Agencies should </w:t>
      </w:r>
      <w:r w:rsidR="005E126C">
        <w:rPr>
          <w:rFonts w:ascii="Arial" w:hAnsi="Arial" w:cs="Arial"/>
          <w:sz w:val="24"/>
          <w:szCs w:val="24"/>
        </w:rPr>
        <w:t>record this information in the C</w:t>
      </w:r>
      <w:r w:rsidRPr="00470B58">
        <w:rPr>
          <w:rFonts w:ascii="Arial" w:hAnsi="Arial" w:cs="Arial"/>
          <w:sz w:val="24"/>
          <w:szCs w:val="24"/>
        </w:rPr>
        <w:t>omments</w:t>
      </w:r>
      <w:r w:rsidR="005E126C">
        <w:rPr>
          <w:rFonts w:ascii="Arial" w:hAnsi="Arial" w:cs="Arial"/>
          <w:sz w:val="24"/>
          <w:szCs w:val="24"/>
        </w:rPr>
        <w:t xml:space="preserve"> </w:t>
      </w:r>
      <w:r w:rsidRPr="00470B58">
        <w:rPr>
          <w:rFonts w:ascii="Arial" w:hAnsi="Arial" w:cs="Arial"/>
          <w:sz w:val="24"/>
          <w:szCs w:val="24"/>
        </w:rPr>
        <w:t>/</w:t>
      </w:r>
      <w:r w:rsidR="005E126C">
        <w:rPr>
          <w:rFonts w:ascii="Arial" w:hAnsi="Arial" w:cs="Arial"/>
          <w:sz w:val="24"/>
          <w:szCs w:val="24"/>
        </w:rPr>
        <w:t xml:space="preserve"> Narrative field on the Ruling Detail screen</w:t>
      </w:r>
      <w:r w:rsidRPr="00470B58">
        <w:rPr>
          <w:rFonts w:ascii="Arial" w:hAnsi="Arial" w:cs="Arial"/>
          <w:sz w:val="24"/>
          <w:szCs w:val="24"/>
        </w:rPr>
        <w:t>. There will not be a separate narrative box on the appeal record.</w:t>
      </w:r>
    </w:p>
    <w:p w:rsidR="0038716D" w:rsidRPr="00470B58" w:rsidRDefault="0038716D" w:rsidP="00470B58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470B58">
        <w:rPr>
          <w:rFonts w:ascii="Arial" w:hAnsi="Arial" w:cs="Arial"/>
          <w:b/>
          <w:sz w:val="24"/>
          <w:szCs w:val="24"/>
        </w:rPr>
        <w:t xml:space="preserve">Q: If several rulings received are being appealed </w:t>
      </w:r>
      <w:r w:rsidR="005E126C">
        <w:rPr>
          <w:rFonts w:ascii="Arial" w:hAnsi="Arial" w:cs="Arial"/>
          <w:b/>
          <w:sz w:val="24"/>
          <w:szCs w:val="24"/>
        </w:rPr>
        <w:t>and the judge vacates one issue</w:t>
      </w:r>
      <w:r w:rsidRPr="00470B58">
        <w:rPr>
          <w:rFonts w:ascii="Arial" w:hAnsi="Arial" w:cs="Arial"/>
          <w:b/>
          <w:sz w:val="24"/>
          <w:szCs w:val="24"/>
        </w:rPr>
        <w:t xml:space="preserve"> but upholds another, how should the appeal outcomes </w:t>
      </w:r>
      <w:proofErr w:type="gramStart"/>
      <w:r w:rsidRPr="00470B58">
        <w:rPr>
          <w:rFonts w:ascii="Arial" w:hAnsi="Arial" w:cs="Arial"/>
          <w:b/>
          <w:sz w:val="24"/>
          <w:szCs w:val="24"/>
        </w:rPr>
        <w:t>be</w:t>
      </w:r>
      <w:proofErr w:type="gramEnd"/>
      <w:r w:rsidRPr="00470B58">
        <w:rPr>
          <w:rFonts w:ascii="Arial" w:hAnsi="Arial" w:cs="Arial"/>
          <w:b/>
          <w:sz w:val="24"/>
          <w:szCs w:val="24"/>
        </w:rPr>
        <w:t xml:space="preserve"> recorded?</w:t>
      </w:r>
    </w:p>
    <w:p w:rsidR="0038716D" w:rsidRPr="00470B58" w:rsidRDefault="0038716D" w:rsidP="00470B58">
      <w:pPr>
        <w:spacing w:before="60" w:after="240"/>
        <w:rPr>
          <w:rFonts w:ascii="Arial" w:hAnsi="Arial" w:cs="Arial"/>
          <w:sz w:val="24"/>
          <w:szCs w:val="24"/>
        </w:rPr>
      </w:pPr>
      <w:r w:rsidRPr="00470B58">
        <w:rPr>
          <w:rFonts w:ascii="Arial" w:hAnsi="Arial" w:cs="Arial"/>
          <w:sz w:val="24"/>
          <w:szCs w:val="24"/>
        </w:rPr>
        <w:t>A:  In this scenario</w:t>
      </w:r>
      <w:r w:rsidR="005E126C">
        <w:rPr>
          <w:rFonts w:ascii="Arial" w:hAnsi="Arial" w:cs="Arial"/>
          <w:sz w:val="24"/>
          <w:szCs w:val="24"/>
        </w:rPr>
        <w:t>,</w:t>
      </w:r>
      <w:r w:rsidRPr="00470B58">
        <w:rPr>
          <w:rFonts w:ascii="Arial" w:hAnsi="Arial" w:cs="Arial"/>
          <w:sz w:val="24"/>
          <w:szCs w:val="24"/>
        </w:rPr>
        <w:t xml:space="preserve"> the user would have entered multiple rulings received that were appealed on one appeal record. The appeal record is not “locked down” until the appeal outcome is entered. </w:t>
      </w:r>
      <w:r w:rsidR="005E126C">
        <w:rPr>
          <w:rFonts w:ascii="Arial" w:hAnsi="Arial" w:cs="Arial"/>
          <w:sz w:val="24"/>
          <w:szCs w:val="24"/>
        </w:rPr>
        <w:t>You</w:t>
      </w:r>
      <w:r w:rsidRPr="00470B58">
        <w:rPr>
          <w:rFonts w:ascii="Arial" w:hAnsi="Arial" w:cs="Arial"/>
          <w:sz w:val="24"/>
          <w:szCs w:val="24"/>
        </w:rPr>
        <w:t xml:space="preserve"> could remove the ruling with a different outcome from the original appeal record and </w:t>
      </w:r>
      <w:r w:rsidR="005E126C">
        <w:rPr>
          <w:rFonts w:ascii="Arial" w:hAnsi="Arial" w:cs="Arial"/>
          <w:sz w:val="24"/>
          <w:szCs w:val="24"/>
        </w:rPr>
        <w:t xml:space="preserve">then </w:t>
      </w:r>
      <w:r w:rsidRPr="00470B58">
        <w:rPr>
          <w:rFonts w:ascii="Arial" w:hAnsi="Arial" w:cs="Arial"/>
          <w:sz w:val="24"/>
          <w:szCs w:val="24"/>
        </w:rPr>
        <w:t>create a separate appeal record to document the differen</w:t>
      </w:r>
      <w:r w:rsidR="005E126C">
        <w:rPr>
          <w:rFonts w:ascii="Arial" w:hAnsi="Arial" w:cs="Arial"/>
          <w:sz w:val="24"/>
          <w:szCs w:val="24"/>
        </w:rPr>
        <w:t>t outcome. Then there would be two</w:t>
      </w:r>
      <w:r w:rsidRPr="00470B58">
        <w:rPr>
          <w:rFonts w:ascii="Arial" w:hAnsi="Arial" w:cs="Arial"/>
          <w:sz w:val="24"/>
          <w:szCs w:val="24"/>
        </w:rPr>
        <w:t xml:space="preserve"> appeal records listed in SAC</w:t>
      </w:r>
      <w:r w:rsidR="005E126C">
        <w:rPr>
          <w:rFonts w:ascii="Arial" w:hAnsi="Arial" w:cs="Arial"/>
          <w:sz w:val="24"/>
          <w:szCs w:val="24"/>
        </w:rPr>
        <w:t>WIS – one with the outcome of “Appeal S</w:t>
      </w:r>
      <w:r w:rsidRPr="00470B58">
        <w:rPr>
          <w:rFonts w:ascii="Arial" w:hAnsi="Arial" w:cs="Arial"/>
          <w:sz w:val="24"/>
          <w:szCs w:val="24"/>
        </w:rPr>
        <w:t>ustained</w:t>
      </w:r>
      <w:r w:rsidR="005E126C">
        <w:rPr>
          <w:rFonts w:ascii="Arial" w:hAnsi="Arial" w:cs="Arial"/>
          <w:sz w:val="24"/>
          <w:szCs w:val="24"/>
        </w:rPr>
        <w:t xml:space="preserve"> </w:t>
      </w:r>
      <w:r w:rsidRPr="00470B58">
        <w:rPr>
          <w:rFonts w:ascii="Arial" w:hAnsi="Arial" w:cs="Arial"/>
          <w:sz w:val="24"/>
          <w:szCs w:val="24"/>
        </w:rPr>
        <w:t>/</w:t>
      </w:r>
      <w:r w:rsidR="005E126C">
        <w:rPr>
          <w:rFonts w:ascii="Arial" w:hAnsi="Arial" w:cs="Arial"/>
          <w:sz w:val="24"/>
          <w:szCs w:val="24"/>
        </w:rPr>
        <w:t xml:space="preserve"> Ruling V</w:t>
      </w:r>
      <w:r w:rsidRPr="00470B58">
        <w:rPr>
          <w:rFonts w:ascii="Arial" w:hAnsi="Arial" w:cs="Arial"/>
          <w:sz w:val="24"/>
          <w:szCs w:val="24"/>
        </w:rPr>
        <w:t>acated</w:t>
      </w:r>
      <w:r w:rsidR="005E126C">
        <w:rPr>
          <w:rFonts w:ascii="Arial" w:hAnsi="Arial" w:cs="Arial"/>
          <w:sz w:val="24"/>
          <w:szCs w:val="24"/>
        </w:rPr>
        <w:t>” and one with the outcome of “Appeal O</w:t>
      </w:r>
      <w:r w:rsidRPr="00470B58">
        <w:rPr>
          <w:rFonts w:ascii="Arial" w:hAnsi="Arial" w:cs="Arial"/>
          <w:sz w:val="24"/>
          <w:szCs w:val="24"/>
        </w:rPr>
        <w:t>verturned</w:t>
      </w:r>
      <w:r w:rsidR="005E126C">
        <w:rPr>
          <w:rFonts w:ascii="Arial" w:hAnsi="Arial" w:cs="Arial"/>
          <w:sz w:val="24"/>
          <w:szCs w:val="24"/>
        </w:rPr>
        <w:t xml:space="preserve"> </w:t>
      </w:r>
      <w:r w:rsidRPr="00470B58">
        <w:rPr>
          <w:rFonts w:ascii="Arial" w:hAnsi="Arial" w:cs="Arial"/>
          <w:sz w:val="24"/>
          <w:szCs w:val="24"/>
        </w:rPr>
        <w:t>/</w:t>
      </w:r>
      <w:r w:rsidR="005E126C">
        <w:rPr>
          <w:rFonts w:ascii="Arial" w:hAnsi="Arial" w:cs="Arial"/>
          <w:sz w:val="24"/>
          <w:szCs w:val="24"/>
        </w:rPr>
        <w:t xml:space="preserve"> Ruling Upheld.”</w:t>
      </w:r>
    </w:p>
    <w:p w:rsidR="000E3C24" w:rsidRPr="00470B58" w:rsidRDefault="0038716D" w:rsidP="00470B58">
      <w:pPr>
        <w:spacing w:before="60" w:after="60"/>
        <w:rPr>
          <w:rFonts w:ascii="Arial" w:hAnsi="Arial" w:cs="Arial"/>
          <w:b/>
          <w:sz w:val="24"/>
          <w:szCs w:val="24"/>
        </w:rPr>
      </w:pPr>
      <w:r w:rsidRPr="00470B58">
        <w:rPr>
          <w:rFonts w:ascii="Arial" w:hAnsi="Arial" w:cs="Arial"/>
          <w:b/>
          <w:sz w:val="24"/>
          <w:szCs w:val="24"/>
        </w:rPr>
        <w:t>Q: Will the historical flag be a visual indicator on the appeal record so that users can see it is flagged as historical?</w:t>
      </w:r>
    </w:p>
    <w:p w:rsidR="0038716D" w:rsidRPr="00470B58" w:rsidRDefault="0038716D" w:rsidP="00470B58">
      <w:pPr>
        <w:spacing w:before="60" w:after="240"/>
        <w:rPr>
          <w:rFonts w:ascii="Arial" w:hAnsi="Arial" w:cs="Arial"/>
          <w:sz w:val="24"/>
          <w:szCs w:val="24"/>
        </w:rPr>
      </w:pPr>
      <w:r w:rsidRPr="00470B58">
        <w:rPr>
          <w:rFonts w:ascii="Arial" w:hAnsi="Arial" w:cs="Arial"/>
          <w:sz w:val="24"/>
          <w:szCs w:val="24"/>
        </w:rPr>
        <w:t xml:space="preserve">A: The historical flag is a database indicator and will not be viewable in production. </w:t>
      </w:r>
      <w:r w:rsidR="002D7D30">
        <w:rPr>
          <w:rFonts w:ascii="Arial" w:hAnsi="Arial" w:cs="Arial"/>
          <w:sz w:val="24"/>
          <w:szCs w:val="24"/>
        </w:rPr>
        <w:t xml:space="preserve">You </w:t>
      </w:r>
      <w:r w:rsidR="000E3C24" w:rsidRPr="00470B58">
        <w:rPr>
          <w:rFonts w:ascii="Arial" w:hAnsi="Arial" w:cs="Arial"/>
          <w:sz w:val="24"/>
          <w:szCs w:val="24"/>
        </w:rPr>
        <w:t>will be able to tell if an appeal record is historical because the following fields will be blank: Appeal File Date, Appeal Outcome Date, and Appeal Outcome.</w:t>
      </w:r>
    </w:p>
    <w:sectPr w:rsidR="0038716D" w:rsidRPr="00470B58" w:rsidSect="00D43B3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682" w:rsidRDefault="00F95682" w:rsidP="00470B58">
      <w:pPr>
        <w:spacing w:after="0" w:line="240" w:lineRule="auto"/>
      </w:pPr>
      <w:r>
        <w:separator/>
      </w:r>
    </w:p>
  </w:endnote>
  <w:endnote w:type="continuationSeparator" w:id="0">
    <w:p w:rsidR="00F95682" w:rsidRDefault="00F95682" w:rsidP="00470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58" w:rsidRPr="00033DC6" w:rsidRDefault="00470B58" w:rsidP="00470B58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1857375</wp:posOffset>
          </wp:positionH>
          <wp:positionV relativeFrom="paragraph">
            <wp:posOffset>-33020</wp:posOffset>
          </wp:positionV>
          <wp:extent cx="1781175" cy="285750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33DC6">
      <w:rPr>
        <w:rFonts w:ascii="Arial" w:hAnsi="Arial" w:cs="Arial"/>
      </w:rPr>
      <w:t xml:space="preserve">Page </w:t>
    </w:r>
    <w:r w:rsidRPr="00033DC6">
      <w:rPr>
        <w:rStyle w:val="PageNumber"/>
        <w:rFonts w:ascii="Arial" w:hAnsi="Arial" w:cs="Arial"/>
      </w:rPr>
      <w:fldChar w:fldCharType="begin"/>
    </w:r>
    <w:r w:rsidRPr="00033DC6">
      <w:rPr>
        <w:rStyle w:val="PageNumber"/>
        <w:rFonts w:ascii="Arial" w:hAnsi="Arial" w:cs="Arial"/>
      </w:rPr>
      <w:instrText xml:space="preserve"> PAGE </w:instrText>
    </w:r>
    <w:r w:rsidRPr="00033DC6">
      <w:rPr>
        <w:rStyle w:val="PageNumber"/>
        <w:rFonts w:ascii="Arial" w:hAnsi="Arial" w:cs="Arial"/>
      </w:rPr>
      <w:fldChar w:fldCharType="separate"/>
    </w:r>
    <w:r w:rsidR="00E50377">
      <w:rPr>
        <w:rStyle w:val="PageNumber"/>
        <w:rFonts w:ascii="Arial" w:hAnsi="Arial" w:cs="Arial"/>
        <w:noProof/>
      </w:rPr>
      <w:t>1</w:t>
    </w:r>
    <w:r w:rsidRPr="00033DC6">
      <w:rPr>
        <w:rStyle w:val="PageNumber"/>
        <w:rFonts w:ascii="Arial" w:hAnsi="Arial" w:cs="Arial"/>
      </w:rPr>
      <w:fldChar w:fldCharType="end"/>
    </w:r>
    <w:r w:rsidRPr="00033DC6">
      <w:rPr>
        <w:rStyle w:val="PageNumber"/>
        <w:rFonts w:ascii="Arial" w:hAnsi="Arial" w:cs="Arial"/>
      </w:rPr>
      <w:t xml:space="preserve"> of </w:t>
    </w:r>
    <w:r w:rsidRPr="00033DC6">
      <w:rPr>
        <w:rStyle w:val="PageNumber"/>
        <w:rFonts w:ascii="Arial" w:hAnsi="Arial" w:cs="Arial"/>
      </w:rPr>
      <w:fldChar w:fldCharType="begin"/>
    </w:r>
    <w:r w:rsidRPr="00033DC6">
      <w:rPr>
        <w:rStyle w:val="PageNumber"/>
        <w:rFonts w:ascii="Arial" w:hAnsi="Arial" w:cs="Arial"/>
      </w:rPr>
      <w:instrText xml:space="preserve"> NUMPAGES </w:instrText>
    </w:r>
    <w:r w:rsidRPr="00033DC6">
      <w:rPr>
        <w:rStyle w:val="PageNumber"/>
        <w:rFonts w:ascii="Arial" w:hAnsi="Arial" w:cs="Arial"/>
      </w:rPr>
      <w:fldChar w:fldCharType="separate"/>
    </w:r>
    <w:r w:rsidR="00E50377">
      <w:rPr>
        <w:rStyle w:val="PageNumber"/>
        <w:rFonts w:ascii="Arial" w:hAnsi="Arial" w:cs="Arial"/>
        <w:noProof/>
      </w:rPr>
      <w:t>1</w:t>
    </w:r>
    <w:r w:rsidRPr="00033DC6">
      <w:rPr>
        <w:rStyle w:val="PageNumber"/>
        <w:rFonts w:ascii="Arial" w:hAnsi="Arial" w:cs="Arial"/>
      </w:rPr>
      <w:fldChar w:fldCharType="end"/>
    </w:r>
    <w:r>
      <w:rPr>
        <w:rStyle w:val="PageNumber"/>
        <w:rFonts w:ascii="Arial" w:hAnsi="Arial" w:cs="Arial"/>
      </w:rPr>
      <w:tab/>
    </w:r>
    <w:r>
      <w:rPr>
        <w:rStyle w:val="PageNumber"/>
        <w:rFonts w:ascii="Arial" w:hAnsi="Arial" w:cs="Arial"/>
      </w:rPr>
      <w:tab/>
      <w:t>Last Updated: 10/19/12</w:t>
    </w:r>
  </w:p>
  <w:p w:rsidR="00470B58" w:rsidRDefault="00470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682" w:rsidRDefault="00F95682" w:rsidP="00470B58">
      <w:pPr>
        <w:spacing w:after="0" w:line="240" w:lineRule="auto"/>
      </w:pPr>
      <w:r>
        <w:separator/>
      </w:r>
    </w:p>
  </w:footnote>
  <w:footnote w:type="continuationSeparator" w:id="0">
    <w:p w:rsidR="00F95682" w:rsidRDefault="00F95682" w:rsidP="00470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B58" w:rsidRPr="00470B58" w:rsidRDefault="00470B58" w:rsidP="00470B58">
    <w:pPr>
      <w:ind w:right="-360"/>
      <w:jc w:val="center"/>
      <w:rPr>
        <w:rFonts w:ascii="Arial" w:hAnsi="Arial" w:cs="Arial"/>
        <w:b/>
        <w:sz w:val="28"/>
        <w:szCs w:val="28"/>
      </w:rPr>
    </w:pPr>
    <w:r w:rsidRPr="00470B58">
      <w:rPr>
        <w:rFonts w:ascii="Arial" w:hAnsi="Arial" w:cs="Arial"/>
        <w:b/>
        <w:sz w:val="28"/>
        <w:szCs w:val="28"/>
      </w:rPr>
      <w:t>SACWIS Court Overhaul Phase II: Court (Permanent Custody) Appeals Functionality Webinar Questions and Answers</w:t>
    </w:r>
  </w:p>
  <w:p w:rsidR="00470B58" w:rsidRDefault="00470B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5964"/>
    <w:rsid w:val="000E3C24"/>
    <w:rsid w:val="0016712D"/>
    <w:rsid w:val="0024215B"/>
    <w:rsid w:val="002D7D30"/>
    <w:rsid w:val="00375964"/>
    <w:rsid w:val="0038716D"/>
    <w:rsid w:val="00470B58"/>
    <w:rsid w:val="005E126C"/>
    <w:rsid w:val="00956211"/>
    <w:rsid w:val="00D43B34"/>
    <w:rsid w:val="00E3050D"/>
    <w:rsid w:val="00E50377"/>
    <w:rsid w:val="00F9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7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0B58"/>
  </w:style>
  <w:style w:type="paragraph" w:styleId="Footer">
    <w:name w:val="footer"/>
    <w:basedOn w:val="Normal"/>
    <w:link w:val="FooterChar"/>
    <w:unhideWhenUsed/>
    <w:rsid w:val="00470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0B58"/>
  </w:style>
  <w:style w:type="character" w:styleId="PageNumber">
    <w:name w:val="page number"/>
    <w:basedOn w:val="DefaultParagraphFont"/>
    <w:rsid w:val="00470B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2198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cookj</dc:creator>
  <cp:lastModifiedBy>cookj</cp:lastModifiedBy>
  <cp:revision>2</cp:revision>
  <dcterms:created xsi:type="dcterms:W3CDTF">2012-10-19T18:40:00Z</dcterms:created>
  <dcterms:modified xsi:type="dcterms:W3CDTF">2012-10-19T18:40:00Z</dcterms:modified>
</cp:coreProperties>
</file>